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22" w:rsidRDefault="00220A22" w:rsidP="00220A22">
      <w:pPr>
        <w:jc w:val="center"/>
        <w:rPr>
          <w:rFonts w:cs="B Badr"/>
          <w:b/>
          <w:bCs/>
          <w:lang w:bidi="fa-IR"/>
        </w:rPr>
      </w:pP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>تعهدات دارنده پروانه</w:t>
      </w: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دارنده پروانه بدینوسیله متعهد می شود :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1- کلیه ضوابط ، مقررات بهداشتی و دستورالعمل های ابلاغی از سوی سازمان دامپزشکی کشور را رعایت کند.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>2- با بازرسین بهداشتی اعزامی از سوی سازمان ، اداره کل و شبکه دامپزشکی شهرستان همکاری لازم داشته باشد.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>3- برای تمام فراورده های مندرج در پروانه ، پروانه ساخت از اداره کل دامپزشکی استان دریافت کند.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4- تمامی موارد اولیه مورد استفاده در تولید خوراک را از واحدهای مجاز تامین کند و در صورت وارداتی بودن مواد اولیه باید مجوز واردات از ارگان های ذیصلاح داشته باشد.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5- دارنده پروانه موظف است کلیه اقدامات بهداشتی در فرایند ساخت فرآورده را ثبت و مستندات مربوط به هر بچ تولیدی را در واحد نگهداری کند.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6- کلیه مستندات مربوط به تامین مواد اولیه و فرآورده های نهایی را برای ارائه به بازرسین بهداشتی اعزامی از سوی سازمان نگهداری نماید.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در صورت تعلیق و ابطال به دلیل عدم رعایت ضوابط و مقررات بهداشتی ، ادعای هر نوع خسارتی از سوی دارنده آن مسموع نیست و دارنده پروانه موظف به جبران خسارت های وارده افراد حقیقی ، حقوقی و دولت خواهد بود.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8- کلیه اقدامات بهداشتی فرآیند تولید فرآورده می بایست تحت نظر مسئول بهداشتی تولید و گواهی شود. </w:t>
      </w:r>
    </w:p>
    <w:p w:rsidR="00220A22" w:rsidRDefault="00220A22" w:rsidP="00220A22">
      <w:pPr>
        <w:jc w:val="lowKashida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9- هرگونه تغییرات در مشخصات پروانه ، مستلزم کسب پروانه ساخت جدید می باشد. </w:t>
      </w: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  <w:r>
        <w:rPr>
          <w:rFonts w:cs="B Badr" w:hint="cs"/>
          <w:b/>
          <w:bCs/>
          <w:rtl/>
          <w:lang w:bidi="fa-IR"/>
        </w:rPr>
        <w:t xml:space="preserve">امضا دارنده پروانه </w:t>
      </w:r>
    </w:p>
    <w:p w:rsidR="00220A22" w:rsidRDefault="00220A22" w:rsidP="00220A22">
      <w:pPr>
        <w:jc w:val="center"/>
        <w:rPr>
          <w:rFonts w:cs="B Badr" w:hint="cs"/>
          <w:b/>
          <w:bCs/>
          <w:rtl/>
          <w:lang w:bidi="fa-IR"/>
        </w:rPr>
      </w:pPr>
    </w:p>
    <w:p w:rsidR="00A80A6D" w:rsidRDefault="00A80A6D">
      <w:bookmarkStart w:id="0" w:name="_GoBack"/>
      <w:bookmarkEnd w:id="0"/>
    </w:p>
    <w:sectPr w:rsidR="00A80A6D" w:rsidSect="005A3D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C"/>
    <w:rsid w:val="00220A22"/>
    <w:rsid w:val="004718AC"/>
    <w:rsid w:val="005A3DAA"/>
    <w:rsid w:val="00A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moalem</dc:creator>
  <cp:keywords/>
  <dc:description/>
  <cp:lastModifiedBy>ali moalem</cp:lastModifiedBy>
  <cp:revision>2</cp:revision>
  <dcterms:created xsi:type="dcterms:W3CDTF">2022-08-17T07:07:00Z</dcterms:created>
  <dcterms:modified xsi:type="dcterms:W3CDTF">2022-08-17T07:07:00Z</dcterms:modified>
</cp:coreProperties>
</file>